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534</w:t>
      </w:r>
    </w:p>
    <w:p>
      <w:r>
        <w:t>Bundesgericht (BGE), 2008-07-10, FR</w:t>
      </w:r>
    </w:p>
    <w:p>
      <w:r>
        <w:rPr>
          <w:b/>
        </w:rPr>
        <w:t xml:space="preserve">Quelle: </w:t>
      </w:r>
      <w:r>
        <w:t>https://mcp.opencaselaw.ch/entscheid/bge_134 III 534</w:t>
      </w:r>
    </w:p>
    <w:p>
      <w:r>
        <w:t>FR: ATF 134 III 534</w:t>
      </w:r>
    </w:p>
    <w:p>
      <w:r>
        <w:t>IT: DTF 134 III 534</w:t>
      </w:r>
    </w:p>
    <w:p>
      <w:pPr>
        <w:pStyle w:val="Heading2"/>
      </w:pPr>
      <w:r>
        <w:t>Regeste</w:t>
      </w:r>
    </w:p>
    <w:p>
      <w:r>
        <w:t>Regeste Haftung des Anwalts (Art. 398 Abs. 2 OR). Unter dem Gesichtspunkt der Haftung des Beauftragten bestimmt grundsätzlich die Veröffentlichung in der Amtlichen Sammlung der Entscheidungen des Schweizerischen Bundesgerichts den Zeitpunkt, von dem an ein Anwalt eine neue Rechtsprechung kennen müsste (E. 3.2).</w:t>
      </w:r>
    </w:p>
    <w:p>
      <w:pPr>
        <w:pStyle w:val="Heading2"/>
      </w:pPr>
      <w:r>
        <w:t>Erwägungen</w:t>
      </w:r>
    </w:p>
    <w:p>
      <w:r>
        <w:rPr>
          <w:b/>
        </w:rPr>
        <w:t>E. 3.2.1</w:t>
      </w:r>
    </w:p>
    <w:p>
      <w:r>
        <w:t>Il est établi que le demandeur, afin que ses droits soient défendus envers la compagnie qui assurait la responsabilité civile de la société employant le chauffeur de poids lourd responsable de l'accident du 13 août 1984, a chargé l'avocat intimé le 8 janvier 1999 de l'assister dans le litige qui l'opposait à cette assurance, et notamment de négocier avec celle-ci des conventions d'indemnisation. Les plaideurs ont donc conclu un contrat de mandat au sens des art. 394 ss CO ( ATF 127 III 357 consid. 1a; ATF 117 II 563 consid. 2a). Ce point ne fait l'objet d'aucune discussion.</w:t>
      </w:r>
    </w:p>
    <w:p>
      <w:r>
        <w:rPr>
          <w:b/>
        </w:rPr>
        <w:t>E. 3.2.2</w:t>
      </w:r>
    </w:p>
    <w:p>
      <w:r>
        <w:t>En sa qualité de mandataire, l'avocat est tenu à la bonne et fidèle exécution du mandat ( art. 398 al. 2 CO ). Il répond à l'endroit de son mandant s'il lui cause un dommage en violant ses obligations de diligence et de fidélité ( ATF 127 III 357 consid. 1b et les références). S'il n'est pas tenu à une obligation de résultat, il doit accomplir son activité selon les règles de l'art. Mais il ne répond pas des risques spécifiques qui sont liés à la formation et à la reconnaissance d'une opinion juridique déterminée. Sous cet angle, il exerce une tâche à risque, dont il sied de tenir compte en droit de la responsabilité civile. En particulier, il ne saurait voir engager sa responsabilité pour chaque mesure ou omission qui se révèle a posteriori comme ayant provoqué le dommage ou qui aurait pu éviter sa survenance. C'est aux parties de supporter les risques du procès; elles ne peuvent pas les transférer sur les épaules de leur conseil ( ATF 127 III 357 ibidem; ATF 117 II 563 consid. 2a). Le degré de diligence qui incombe au mandataire ne doit pas se déterminer une fois pour toutes, mais en fonction des capacités, des BGE 134 III 534 S. 538 connaissances techniques et des aptitudes propres de ce dernier que le mandant connaît ou aurait dû connaître. Ce sont les circonstances concrètes de l'affaire qui importent à cet égard. Savoir si la manière d'agir d'un avocat doit être qualifiée de conforme ou non à son devoir de diligence résulte d'une pesée appréciative entre, d'une part, le risque engendré par le métier d'avocat et, d'autre part, l'autorité renforcée dont il est revêtu à l'égard de son client ( ATF 127 III 357 consid. 1c). A la lumière de ces principes jurisprudentiels, il convient d'examiner si l'intimé a enfreint son obligation de diligence en n'élevant pas pour le compte du recourant des prétentions en réparation du dommage domestique lorsqu'il a négocié et conclu avec l'assurance les conventions d'indemnisation du 20 décembre 2000.</w:t>
      </w:r>
    </w:p>
    <w:p>
      <w:r>
        <w:rPr>
          <w:b/>
        </w:rPr>
        <w:t>E. 3.2.3.1</w:t>
      </w:r>
    </w:p>
    <w:p>
      <w:r>
        <w:t>Il sied préalablement de définir la notion juridique de dommage domestique. La partie qui est victime d'une lésion corporelle (cf. art. 46 CO ) peut être atteinte non seulement dans sa capacité de gain, mais également dans sa capacité de travail, particulièrement celle se rapportant à des activités non rémunérées, telles que la tenue du ménage ainsi que les soins et l'assistance fournis aux enfants. Il est alors question de dommage domestique ou de préjudice ménager ( ATF 131 III 360 consid. 8.1; ATF 129 III 135 consid. 4.2.1). Selon la jurisprudence du Tribunal fédéral, ce type de préjudice donne droit à des dommages-intérêts en application de l' art. 46 al. 1 CO , peu importe qu'il ait été compensé par une aide extérieure, qu'il occasionne des dépenses accrues de la personne partiellement invalide, qu'il entraîne une mise à contribution supplémentaire des proches ou que l'on admette une perte de qualité des services prodigués jusque-là ( ATF 132 III 321 consid. 3.1; ATF 131 III 360 consid. 8.1). Ce dommage est dit normatif (ou abstrait), car il est admis sans que soit établie une diminution concrète du patrimoine du lésé ( ATF 132 III 321 consid. 3.1).</w:t>
      </w:r>
    </w:p>
    <w:p>
      <w:r>
        <w:rPr>
          <w:b/>
        </w:rPr>
        <w:t>E. 3.2.3.2</w:t>
      </w:r>
    </w:p>
    <w:p>
      <w:r>
        <w:t>Depuis 1931, le Tribunal fédéral, écartant tout doute exprimé jusqu'alors par certains auteurs et quelques précédents cantonaux, considère que l'incapacité de travail d'une femme (mariée), qui n'exerçait avant le sinistre dont elle a été victime aucune activité lucrative mais effectuait des travaux ménagers, constitue bien pour celle-ci un dommage subi dans sa personne, qui doit être indemnisé en application du droit de la responsabilité civile ( ATF 57 II 94 consid. 4b p. 102/103, 555 consid. 2). BGE 134 III 534 S. 539 Cette jurisprudence, qui avait trait aux femmes mariées tenant le ménage de la famille, a été maintes fois confirmée par la suite (cf. p. ex. ATF 69 II 334 consid. 3c; ATF 85 II 350 consid. 6; ATF 99 II 221 consid. 2; ATF 113 II 345 consid. 2 p. 350 s.; beaucoup plus récemment: ATF 127 III 403 consid. 4b). L' ATF 108 II 434 consid. 3 - qui ne se rapportait nullement au travail ménager effectué par un homme, comme l'affirme le recourant, mais à la perte de soutien due au veuf dont l'épouse qui tenait le ménage est décédée - est conforme aux précédents susrappelés. Tenant compte du fait que la répartition de l'ensemble des tâches ménagères entre l'homme et la femme est devenue une réalité au sein de nombreuses familles au cours de la fin du 20 e siècle, le Tribunal fédéral, dans l'arrêt de principe du 19 décembre 2002 publié au Recueil officiel ( ATF 129 III 135 consid. 4.2.1), a reconnu que le préjudice domestique devait être indemnisé, cela quelle que soit la personne qui est atteinte dans sa capacité d'effectuer des activités ménagères, autrement dit non seulement si c'est l'épouse, mais également si c'est le mari qui devient incapable de s'occuper du ménage et/ou des enfants. Il a ainsi jugé que le lésé, en l'occurrence un homme âgé de 32 ans lorsqu'il a été grièvement blessé dans un accident de la circulation routière, avait droit à des dommages-intérêts en réparation du préjudice ménager, car il participait activement aux tâches du ménage (nettoyage, cuisine, lessive, courses et garde de l'enfant du couple).</w:t>
      </w:r>
    </w:p>
    <w:p>
      <w:r>
        <w:rPr>
          <w:b/>
        </w:rPr>
        <w:t>E. 3.2.3.3</w:t>
      </w:r>
    </w:p>
    <w:p>
      <w:r>
        <w:t>Sous l'angle de la responsabilité du mandataire, on ne peut pas exiger d'un avocat qu'il prenne connaissance de tous les arrêts du Tribunal fédéral accessibles par internet ou de tous les arrêts et articles publiés dans les nombreuses revues juridiques existant en Suisse. Le Tribunal fédéral publie ses arrêts de principe au Recueil officiel (art. 58 al. 1 du règlement du Tribunal fédéral du 20 novembre 2006 [RS 173.110.131], pris en application de l' art. 27 al. 3 LTF ; sous l'empire de l'OJ, cf. art. 18 du règlement du Tribunal fédéral du 14 décembre 1978 [RO 1979 p. 52]). C'est donc la publication dans ce recueil qui, en règle générale, est déterminante pour dire à partir de quel moment un avocat devrait avoir connaissance d'une nouvelle jurisprudence. Il résulte de l'analyse historique présentée au consid. 3.2.3.2 ci-dessus que le 20 décembre 2000, jour où l'intimé a conclu avec l'assurance les conventions d'indemnisation incriminées, la nouvelle BGE 134 III 534 S. 540 jurisprudence du Tribunal fédéral, d'après laquelle un homme peut, selon les circonstances, réclamer l'indemnisation de son dommage ménager, n'avait pas été publiée au Recueil officiel; comme on l'a vu, elle ne l'a été qu'en 2003, à l' ATF 129 III 135 ss. Dans ce contexte, on ne peut pas faire grief à l'intimé de n'avoir pas connu la jurisprudence en matière de réparation du dommage ménager. Il est tout à fait possible qu'avant la publication de l'arrêt précité au Recueil officiel, certains arrêts cantonaux et divers articles juridiques parus dans différents médias aient prôné la réparation du préjudice domestique qu'a subi à l'occasion d'un sinistre un homme prenant part à la tenue du ménage. Mais il ne s'agissait pas alors d'un principe juridique consacré par la jurisprudence publiée au Recueil officiel des arrêts du Tribunal fédéral. C'est donc à bon droit que la Cour de justice a nié que le défendeur ait mal exécuté son obligation de mandataire dans le cas présent.</w:t>
      </w:r>
    </w:p>
    <w:p>
      <w:r>
        <w:rPr>
          <w:b/>
        </w:rPr>
        <w:t>E. 3.2.4</w:t>
      </w:r>
    </w:p>
    <w:p>
      <w:r>
        <w:t>Ce résultat dispense le Tribunal fédéral d'examiner les critiques du recourant dirigées contre l'absence d'élément subjectif de responsabilité.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